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14175" w14:textId="14018469" w:rsidR="000A2E48" w:rsidRPr="00212C1D" w:rsidRDefault="00212C1D" w:rsidP="0032011D">
      <w:pPr>
        <w:ind w:left="104" w:right="615"/>
        <w:jc w:val="center"/>
        <w:rPr>
          <w:rFonts w:ascii="Tahoma" w:hAnsi="Tahoma" w:cs="Tahoma"/>
          <w:b/>
        </w:rPr>
      </w:pPr>
      <w:r>
        <w:rPr>
          <w:rFonts w:ascii="Tahoma" w:hAnsi="Tahoma" w:cs="Tahoma"/>
          <w:b/>
        </w:rPr>
        <w:t xml:space="preserve">CONVOCATORIA </w:t>
      </w:r>
      <w:r w:rsidR="000A2E48" w:rsidRPr="00212C1D">
        <w:rPr>
          <w:rFonts w:ascii="Tahoma" w:hAnsi="Tahoma" w:cs="Tahoma"/>
          <w:b/>
        </w:rPr>
        <w:t>OPD/CMD/SC</w:t>
      </w:r>
      <w:r w:rsidRPr="00212C1D">
        <w:rPr>
          <w:rFonts w:ascii="Tahoma" w:hAnsi="Tahoma" w:cs="Tahoma"/>
          <w:b/>
        </w:rPr>
        <w:t>/</w:t>
      </w:r>
      <w:r w:rsidR="0032011D">
        <w:rPr>
          <w:rFonts w:ascii="Tahoma" w:hAnsi="Tahoma" w:cs="Tahoma"/>
          <w:b/>
        </w:rPr>
        <w:t>0</w:t>
      </w:r>
      <w:r w:rsidR="00D2696D">
        <w:rPr>
          <w:rFonts w:ascii="Tahoma" w:hAnsi="Tahoma" w:cs="Tahoma"/>
          <w:b/>
        </w:rPr>
        <w:t>13</w:t>
      </w:r>
      <w:r w:rsidR="000A2E48" w:rsidRPr="00212C1D">
        <w:rPr>
          <w:rFonts w:ascii="Tahoma" w:hAnsi="Tahoma" w:cs="Tahoma"/>
          <w:b/>
        </w:rPr>
        <w:t>/202</w:t>
      </w:r>
      <w:r w:rsidR="0032011D">
        <w:rPr>
          <w:rFonts w:ascii="Tahoma" w:hAnsi="Tahoma" w:cs="Tahoma"/>
          <w:b/>
        </w:rPr>
        <w:t>5</w:t>
      </w:r>
      <w:r w:rsidR="000A2E48" w:rsidRPr="00212C1D">
        <w:rPr>
          <w:rFonts w:ascii="Tahoma" w:hAnsi="Tahoma" w:cs="Tahoma"/>
          <w:b/>
        </w:rPr>
        <w:t xml:space="preserve"> </w:t>
      </w:r>
      <w:r w:rsidR="00E177ED" w:rsidRPr="00E177ED">
        <w:rPr>
          <w:rFonts w:ascii="Tahoma" w:hAnsi="Tahoma" w:cs="Tahoma"/>
          <w:b/>
        </w:rPr>
        <w:t>"ADQUISICIÓN DE ARCO DE META INFLABLE PARA EL CONSEJO MUNICIPAL DEL DEPORTE (COMUDE) DE TLAJOMULCO DE ZÚÑIGA, JALISCO"</w:t>
      </w:r>
    </w:p>
    <w:p w14:paraId="0748EAFE" w14:textId="06A3F79E" w:rsidR="00522C2D" w:rsidRPr="00522C2D" w:rsidRDefault="00522C2D" w:rsidP="00522C2D">
      <w:pPr>
        <w:spacing w:after="0" w:line="240" w:lineRule="auto"/>
        <w:jc w:val="both"/>
        <w:rPr>
          <w:rFonts w:ascii="Arial" w:eastAsia="Times New Roman" w:hAnsi="Arial" w:cs="Arial"/>
          <w:kern w:val="0"/>
          <w:szCs w:val="20"/>
          <w:lang w:eastAsia="es-MX"/>
          <w14:ligatures w14:val="none"/>
        </w:rPr>
      </w:pPr>
      <w:r w:rsidRPr="00522C2D">
        <w:rPr>
          <w:rFonts w:ascii="Arial" w:eastAsia="Times New Roman" w:hAnsi="Arial" w:cs="Arial"/>
          <w:kern w:val="0"/>
          <w:szCs w:val="20"/>
          <w:lang w:eastAsia="es-MX"/>
          <w14:ligatures w14:val="none"/>
        </w:rPr>
        <w:t xml:space="preserve">El Municipio de Tlajomulco de Zúñiga, Jalisco a través del Organismo Público Descentralizado, Consejo Municipal del Deporte (COMUDE) de Tlajomulco de Zúñiga, Jalisco, ubicado en la </w:t>
      </w:r>
      <w:bookmarkStart w:id="0" w:name="_Hlk181781580"/>
      <w:r w:rsidRPr="00522C2D">
        <w:rPr>
          <w:rFonts w:ascii="Arial" w:eastAsia="Times New Roman" w:hAnsi="Arial" w:cs="Arial"/>
          <w:kern w:val="0"/>
          <w:szCs w:val="20"/>
          <w:lang w:eastAsia="es-MX"/>
          <w14:ligatures w14:val="none"/>
        </w:rPr>
        <w:t>calle Constitución Oriente no. 157, Int. B, en el Municipio d</w:t>
      </w:r>
      <w:bookmarkStart w:id="1" w:name="_Hlk182046638"/>
      <w:r w:rsidRPr="00522C2D">
        <w:rPr>
          <w:rFonts w:ascii="Arial" w:eastAsia="Times New Roman" w:hAnsi="Arial" w:cs="Arial"/>
          <w:kern w:val="0"/>
          <w:szCs w:val="20"/>
          <w:lang w:eastAsia="es-MX"/>
          <w14:ligatures w14:val="none"/>
        </w:rPr>
        <w:t>e Tlajomulco de Zúñiga, Jalisco</w:t>
      </w:r>
      <w:bookmarkEnd w:id="1"/>
      <w:r w:rsidRPr="00522C2D">
        <w:rPr>
          <w:rFonts w:ascii="Arial" w:eastAsia="Times New Roman" w:hAnsi="Arial" w:cs="Arial"/>
          <w:kern w:val="0"/>
          <w:szCs w:val="20"/>
          <w:lang w:eastAsia="es-MX"/>
          <w14:ligatures w14:val="none"/>
        </w:rPr>
        <w:t xml:space="preserve">, </w:t>
      </w:r>
      <w:bookmarkEnd w:id="0"/>
      <w:r w:rsidRPr="00522C2D">
        <w:rPr>
          <w:rFonts w:ascii="Arial" w:eastAsia="Times New Roman" w:hAnsi="Arial" w:cs="Arial"/>
          <w:kern w:val="0"/>
          <w:szCs w:val="20"/>
          <w:lang w:eastAsia="es-MX"/>
          <w14:ligatures w14:val="none"/>
        </w:rPr>
        <w:t>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136BC082" w14:textId="1B8903A6" w:rsidR="00522C2D" w:rsidRPr="00522C2D" w:rsidRDefault="00522C2D" w:rsidP="00522C2D">
      <w:pPr>
        <w:spacing w:after="0" w:line="240" w:lineRule="auto"/>
        <w:jc w:val="both"/>
        <w:rPr>
          <w:rFonts w:ascii="Arial" w:eastAsia="Times New Roman" w:hAnsi="Arial" w:cs="Arial"/>
          <w:kern w:val="0"/>
          <w:szCs w:val="20"/>
          <w:lang w:eastAsia="es-MX"/>
          <w14:ligatures w14:val="none"/>
        </w:rPr>
      </w:pPr>
    </w:p>
    <w:tbl>
      <w:tblPr>
        <w:tblStyle w:val="Tablaconcuadrcula1"/>
        <w:tblW w:w="9067" w:type="dxa"/>
        <w:tblLook w:val="04A0" w:firstRow="1" w:lastRow="0" w:firstColumn="1" w:lastColumn="0" w:noHBand="0" w:noVBand="1"/>
      </w:tblPr>
      <w:tblGrid>
        <w:gridCol w:w="4390"/>
        <w:gridCol w:w="4677"/>
      </w:tblGrid>
      <w:tr w:rsidR="00522C2D" w:rsidRPr="00522C2D" w14:paraId="00282A29" w14:textId="77777777" w:rsidTr="000E3235">
        <w:trPr>
          <w:trHeight w:val="340"/>
        </w:trPr>
        <w:tc>
          <w:tcPr>
            <w:tcW w:w="4390" w:type="dxa"/>
          </w:tcPr>
          <w:p w14:paraId="27C4F17A" w14:textId="77777777" w:rsidR="00522C2D" w:rsidRPr="00522C2D" w:rsidRDefault="00522C2D" w:rsidP="00522C2D">
            <w:pPr>
              <w:rPr>
                <w:rFonts w:ascii="Arial" w:eastAsia="Calibri" w:hAnsi="Arial" w:cs="Arial"/>
                <w:lang w:eastAsia="es-ES"/>
              </w:rPr>
            </w:pPr>
            <w:r w:rsidRPr="00522C2D">
              <w:rPr>
                <w:rFonts w:ascii="Arial" w:eastAsia="Calibri" w:hAnsi="Arial" w:cs="Arial"/>
                <w:lang w:eastAsia="es-ES"/>
              </w:rPr>
              <w:t xml:space="preserve">Origen de los Recursos </w:t>
            </w:r>
          </w:p>
        </w:tc>
        <w:tc>
          <w:tcPr>
            <w:tcW w:w="4677" w:type="dxa"/>
          </w:tcPr>
          <w:p w14:paraId="49709C47"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Municipal </w:t>
            </w:r>
          </w:p>
        </w:tc>
      </w:tr>
      <w:tr w:rsidR="00522C2D" w:rsidRPr="00522C2D" w14:paraId="3718DB92" w14:textId="77777777" w:rsidTr="000E3235">
        <w:tc>
          <w:tcPr>
            <w:tcW w:w="4390" w:type="dxa"/>
          </w:tcPr>
          <w:p w14:paraId="1FE61C9F"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Carácter de la Licitación </w:t>
            </w:r>
          </w:p>
        </w:tc>
        <w:tc>
          <w:tcPr>
            <w:tcW w:w="4677" w:type="dxa"/>
          </w:tcPr>
          <w:p w14:paraId="59E4BC4E"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Local</w:t>
            </w:r>
          </w:p>
        </w:tc>
      </w:tr>
      <w:tr w:rsidR="00522C2D" w:rsidRPr="00522C2D" w14:paraId="618A2114" w14:textId="77777777" w:rsidTr="000E3235">
        <w:tc>
          <w:tcPr>
            <w:tcW w:w="4390" w:type="dxa"/>
          </w:tcPr>
          <w:p w14:paraId="4FAC44B5"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Ejercicio Fiscal que abarca la Contratación </w:t>
            </w:r>
          </w:p>
        </w:tc>
        <w:tc>
          <w:tcPr>
            <w:tcW w:w="4677" w:type="dxa"/>
          </w:tcPr>
          <w:p w14:paraId="1ED4B756" w14:textId="396CFF7A"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202</w:t>
            </w:r>
            <w:r w:rsidR="00381D89">
              <w:rPr>
                <w:rFonts w:ascii="Arial" w:eastAsia="Calibri" w:hAnsi="Arial" w:cs="Arial"/>
                <w:lang w:eastAsia="es-ES"/>
              </w:rPr>
              <w:t>5</w:t>
            </w:r>
          </w:p>
        </w:tc>
      </w:tr>
      <w:tr w:rsidR="00522C2D" w:rsidRPr="00522C2D" w14:paraId="7A7B8DC2" w14:textId="77777777" w:rsidTr="000E3235">
        <w:tc>
          <w:tcPr>
            <w:tcW w:w="4390" w:type="dxa"/>
          </w:tcPr>
          <w:p w14:paraId="0B23D702"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Tipo de Contrato o Pedido (Orden de Compra)</w:t>
            </w:r>
          </w:p>
        </w:tc>
        <w:tc>
          <w:tcPr>
            <w:tcW w:w="4677" w:type="dxa"/>
          </w:tcPr>
          <w:p w14:paraId="78FC19ED"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Cerrado</w:t>
            </w:r>
          </w:p>
        </w:tc>
      </w:tr>
      <w:tr w:rsidR="00522C2D" w:rsidRPr="00522C2D" w14:paraId="33336CB7" w14:textId="77777777" w:rsidTr="000E3235">
        <w:tc>
          <w:tcPr>
            <w:tcW w:w="4390" w:type="dxa"/>
          </w:tcPr>
          <w:p w14:paraId="70FA44A2"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Adjudicación de los Bienes o Servicios </w:t>
            </w:r>
          </w:p>
        </w:tc>
        <w:tc>
          <w:tcPr>
            <w:tcW w:w="4677" w:type="dxa"/>
          </w:tcPr>
          <w:p w14:paraId="4C27F01D" w14:textId="1F1F865F" w:rsidR="00522C2D" w:rsidRPr="00522C2D" w:rsidRDefault="00522C2D" w:rsidP="00522C2D">
            <w:pPr>
              <w:jc w:val="both"/>
              <w:rPr>
                <w:rFonts w:ascii="Arial" w:eastAsia="Calibri" w:hAnsi="Arial" w:cs="Arial"/>
                <w:b/>
                <w:lang w:eastAsia="es-ES"/>
              </w:rPr>
            </w:pPr>
            <w:r w:rsidRPr="00522C2D">
              <w:rPr>
                <w:rFonts w:ascii="Arial" w:eastAsia="Calibri" w:hAnsi="Arial" w:cs="Arial"/>
                <w:b/>
                <w:lang w:eastAsia="es-ES"/>
              </w:rPr>
              <w:t xml:space="preserve">Se adjudicará a </w:t>
            </w:r>
            <w:r w:rsidR="00823361">
              <w:rPr>
                <w:rFonts w:ascii="Arial" w:eastAsia="Calibri" w:hAnsi="Arial" w:cs="Arial"/>
                <w:b/>
                <w:lang w:eastAsia="es-ES"/>
              </w:rPr>
              <w:t>un solo proveedor</w:t>
            </w:r>
          </w:p>
        </w:tc>
      </w:tr>
      <w:tr w:rsidR="00522C2D" w:rsidRPr="00522C2D" w14:paraId="574C6375" w14:textId="77777777" w:rsidTr="000E3235">
        <w:tc>
          <w:tcPr>
            <w:tcW w:w="4390" w:type="dxa"/>
          </w:tcPr>
          <w:p w14:paraId="56DE7CB3" w14:textId="1BC3796D"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La partida presupuestal, de conformidad con el clasificador por objeto del gasto</w:t>
            </w:r>
          </w:p>
        </w:tc>
        <w:tc>
          <w:tcPr>
            <w:tcW w:w="4677" w:type="dxa"/>
          </w:tcPr>
          <w:p w14:paraId="3062BF29" w14:textId="729340D3" w:rsidR="00522C2D" w:rsidRPr="00522C2D" w:rsidRDefault="00E177ED" w:rsidP="00522C2D">
            <w:pPr>
              <w:jc w:val="both"/>
              <w:rPr>
                <w:rFonts w:ascii="Arial" w:eastAsia="Calibri" w:hAnsi="Arial" w:cs="Arial"/>
                <w:lang w:eastAsia="es-ES"/>
              </w:rPr>
            </w:pPr>
            <w:r>
              <w:rPr>
                <w:rFonts w:ascii="Arial" w:eastAsia="Calibri" w:hAnsi="Arial" w:cs="Arial"/>
                <w:lang w:eastAsia="es-ES"/>
              </w:rPr>
              <w:t>5291</w:t>
            </w:r>
          </w:p>
        </w:tc>
      </w:tr>
      <w:tr w:rsidR="00522C2D" w:rsidRPr="00522C2D" w14:paraId="60D538EF" w14:textId="77777777" w:rsidTr="000E3235">
        <w:tc>
          <w:tcPr>
            <w:tcW w:w="4390" w:type="dxa"/>
          </w:tcPr>
          <w:p w14:paraId="289057FF"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Criterio de evaluación de propuestas </w:t>
            </w:r>
          </w:p>
        </w:tc>
        <w:tc>
          <w:tcPr>
            <w:tcW w:w="4677" w:type="dxa"/>
          </w:tcPr>
          <w:p w14:paraId="448C98F8"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Binario</w:t>
            </w:r>
          </w:p>
        </w:tc>
      </w:tr>
      <w:tr w:rsidR="00522C2D" w:rsidRPr="00522C2D" w14:paraId="673A973B" w14:textId="77777777" w:rsidTr="000E3235">
        <w:tc>
          <w:tcPr>
            <w:tcW w:w="4390" w:type="dxa"/>
          </w:tcPr>
          <w:p w14:paraId="6EF616AB" w14:textId="77777777" w:rsidR="00522C2D" w:rsidRPr="00522C2D" w:rsidRDefault="00522C2D" w:rsidP="00522C2D">
            <w:pPr>
              <w:jc w:val="both"/>
              <w:rPr>
                <w:rFonts w:ascii="Arial" w:eastAsia="Calibri" w:hAnsi="Arial" w:cs="Arial"/>
              </w:rPr>
            </w:pPr>
            <w:r w:rsidRPr="00522C2D">
              <w:rPr>
                <w:rFonts w:ascii="Arial" w:eastAsia="Calibri" w:hAnsi="Arial" w:cs="Arial"/>
              </w:rPr>
              <w:t>Fecha de Publicación</w:t>
            </w:r>
          </w:p>
        </w:tc>
        <w:tc>
          <w:tcPr>
            <w:tcW w:w="4677" w:type="dxa"/>
          </w:tcPr>
          <w:p w14:paraId="71D082E6" w14:textId="672FA5A0" w:rsidR="00522C2D" w:rsidRPr="00522C2D" w:rsidRDefault="00893278" w:rsidP="00522C2D">
            <w:pPr>
              <w:spacing w:after="200" w:line="276" w:lineRule="auto"/>
              <w:jc w:val="both"/>
              <w:rPr>
                <w:rFonts w:ascii="Arial" w:eastAsia="Calibri" w:hAnsi="Arial" w:cs="Arial"/>
                <w:b/>
              </w:rPr>
            </w:pPr>
            <w:r>
              <w:rPr>
                <w:rFonts w:ascii="Arial" w:eastAsia="Calibri" w:hAnsi="Arial" w:cs="Arial"/>
                <w:color w:val="000000"/>
              </w:rPr>
              <w:t xml:space="preserve"> </w:t>
            </w:r>
            <w:r w:rsidR="00D2696D">
              <w:rPr>
                <w:rFonts w:ascii="Arial" w:eastAsia="Calibri" w:hAnsi="Arial" w:cs="Arial"/>
                <w:color w:val="000000"/>
              </w:rPr>
              <w:t xml:space="preserve">18 </w:t>
            </w:r>
            <w:r w:rsidR="00E177ED">
              <w:rPr>
                <w:rFonts w:ascii="Arial" w:eastAsia="Calibri" w:hAnsi="Arial" w:cs="Arial"/>
                <w:color w:val="000000"/>
              </w:rPr>
              <w:t>de febrero</w:t>
            </w:r>
            <w:r w:rsidR="00522C2D" w:rsidRPr="00522C2D">
              <w:rPr>
                <w:rFonts w:ascii="Arial" w:eastAsia="Calibri" w:hAnsi="Arial" w:cs="Arial"/>
                <w:color w:val="000000"/>
              </w:rPr>
              <w:t xml:space="preserve"> del 202</w:t>
            </w:r>
            <w:r w:rsidR="0032011D">
              <w:rPr>
                <w:rFonts w:ascii="Arial" w:eastAsia="Calibri" w:hAnsi="Arial" w:cs="Arial"/>
                <w:color w:val="000000"/>
              </w:rPr>
              <w:t>5</w:t>
            </w:r>
          </w:p>
        </w:tc>
      </w:tr>
      <w:tr w:rsidR="00D2696D" w:rsidRPr="00522C2D" w14:paraId="2ED7C680" w14:textId="77777777" w:rsidTr="000E3235">
        <w:trPr>
          <w:trHeight w:val="434"/>
        </w:trPr>
        <w:tc>
          <w:tcPr>
            <w:tcW w:w="4390" w:type="dxa"/>
          </w:tcPr>
          <w:p w14:paraId="4DC89F01" w14:textId="08784130" w:rsidR="00D2696D" w:rsidRPr="00522C2D" w:rsidRDefault="00D2696D" w:rsidP="00D2696D">
            <w:pPr>
              <w:jc w:val="both"/>
              <w:rPr>
                <w:rFonts w:ascii="Arial" w:eastAsia="Calibri" w:hAnsi="Arial" w:cs="Arial"/>
              </w:rPr>
            </w:pPr>
            <w:r w:rsidRPr="00A55771">
              <w:rPr>
                <w:rFonts w:ascii="Arial" w:hAnsi="Arial" w:cs="Arial"/>
              </w:rPr>
              <w:t>Entrega de preguntas para Junta Aclaratoria y correo electrónico para el envío de preguntas</w:t>
            </w:r>
          </w:p>
        </w:tc>
        <w:tc>
          <w:tcPr>
            <w:tcW w:w="4677" w:type="dxa"/>
          </w:tcPr>
          <w:p w14:paraId="2488CAC6" w14:textId="2CE49C38" w:rsidR="00D2696D" w:rsidRPr="00522C2D" w:rsidRDefault="00D2696D" w:rsidP="00D2696D">
            <w:pPr>
              <w:spacing w:after="200"/>
              <w:jc w:val="both"/>
              <w:rPr>
                <w:rFonts w:ascii="Arial" w:eastAsia="Calibri" w:hAnsi="Arial" w:cs="Arial"/>
              </w:rPr>
            </w:pPr>
            <w:r w:rsidRPr="00A55771">
              <w:rPr>
                <w:rFonts w:ascii="Arial" w:hAnsi="Arial" w:cs="Arial"/>
              </w:rPr>
              <w:t xml:space="preserve">Hasta las 13:00 horas del día </w:t>
            </w:r>
            <w:r>
              <w:rPr>
                <w:rFonts w:ascii="Arial" w:hAnsi="Arial" w:cs="Arial"/>
              </w:rPr>
              <w:t>jueves 20</w:t>
            </w:r>
            <w:r w:rsidRPr="00A55771">
              <w:rPr>
                <w:rFonts w:ascii="Arial" w:hAnsi="Arial" w:cs="Arial"/>
              </w:rPr>
              <w:t xml:space="preserve"> de febrero del año 2025, correo: comprascomude@tlajomulco.gob.mx  </w:t>
            </w:r>
          </w:p>
        </w:tc>
      </w:tr>
      <w:tr w:rsidR="00D2696D" w:rsidRPr="00522C2D" w14:paraId="25A46844" w14:textId="77777777" w:rsidTr="000E3235">
        <w:trPr>
          <w:trHeight w:val="434"/>
        </w:trPr>
        <w:tc>
          <w:tcPr>
            <w:tcW w:w="4390" w:type="dxa"/>
          </w:tcPr>
          <w:p w14:paraId="5CD11D28" w14:textId="25F173AE" w:rsidR="00D2696D" w:rsidRPr="00522C2D" w:rsidRDefault="00D2696D" w:rsidP="00D2696D">
            <w:pPr>
              <w:jc w:val="both"/>
              <w:rPr>
                <w:rFonts w:ascii="Arial" w:eastAsia="Calibri" w:hAnsi="Arial" w:cs="Arial"/>
              </w:rPr>
            </w:pPr>
            <w:r w:rsidRPr="00A55771">
              <w:rPr>
                <w:rFonts w:ascii="Arial" w:hAnsi="Arial" w:cs="Arial"/>
              </w:rPr>
              <w:t xml:space="preserve">Fecha, hora y lugar de la celebración de la primera Junta de Aclaraciones </w:t>
            </w:r>
          </w:p>
        </w:tc>
        <w:tc>
          <w:tcPr>
            <w:tcW w:w="4677" w:type="dxa"/>
          </w:tcPr>
          <w:p w14:paraId="5D587599" w14:textId="5AFD623B" w:rsidR="00D2696D" w:rsidRPr="00522C2D" w:rsidRDefault="00D2696D" w:rsidP="00D2696D">
            <w:pPr>
              <w:spacing w:after="200"/>
              <w:jc w:val="both"/>
              <w:rPr>
                <w:rFonts w:ascii="Arial" w:eastAsia="Calibri" w:hAnsi="Arial" w:cs="Arial"/>
              </w:rPr>
            </w:pPr>
            <w:r w:rsidRPr="00A55771">
              <w:rPr>
                <w:rFonts w:ascii="Arial" w:hAnsi="Arial" w:cs="Arial"/>
              </w:rPr>
              <w:t xml:space="preserve">A las 13:00 horas del día </w:t>
            </w:r>
            <w:r w:rsidR="00AB298A">
              <w:rPr>
                <w:rFonts w:ascii="Arial" w:hAnsi="Arial" w:cs="Arial"/>
              </w:rPr>
              <w:t>viernes</w:t>
            </w:r>
            <w:r>
              <w:rPr>
                <w:rFonts w:ascii="Arial" w:hAnsi="Arial" w:cs="Arial"/>
              </w:rPr>
              <w:t xml:space="preserve"> 21</w:t>
            </w:r>
            <w:r w:rsidRPr="00A55771">
              <w:rPr>
                <w:rFonts w:ascii="Arial" w:hAnsi="Arial" w:cs="Arial"/>
              </w:rPr>
              <w:t xml:space="preserve"> de febrero del año 2025, en la Sala de Juntas del Consejo Municipal del Deporte (COMUDE) de Tlajomulco de Zúñiga, Jalisco, Calle Constitución Ote. No. 157-B, Colonia Centro, Tlajomulco de Zúñiga, Jalisco, México.</w:t>
            </w:r>
          </w:p>
        </w:tc>
      </w:tr>
      <w:tr w:rsidR="00522C2D" w:rsidRPr="00522C2D" w14:paraId="787A906B" w14:textId="77777777" w:rsidTr="000E3235">
        <w:trPr>
          <w:trHeight w:val="1442"/>
        </w:trPr>
        <w:tc>
          <w:tcPr>
            <w:tcW w:w="4390" w:type="dxa"/>
          </w:tcPr>
          <w:p w14:paraId="26E6FBA9"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 xml:space="preserve">Fecha y hora límite para entrega de propuestas </w:t>
            </w:r>
          </w:p>
        </w:tc>
        <w:tc>
          <w:tcPr>
            <w:tcW w:w="4677" w:type="dxa"/>
          </w:tcPr>
          <w:p w14:paraId="06515019" w14:textId="652841FD" w:rsidR="00522C2D" w:rsidRPr="00522C2D" w:rsidRDefault="00D2696D" w:rsidP="00522C2D">
            <w:pPr>
              <w:spacing w:after="200"/>
              <w:jc w:val="both"/>
              <w:rPr>
                <w:rFonts w:ascii="Arial" w:eastAsia="Calibri" w:hAnsi="Arial" w:cs="Arial"/>
                <w:color w:val="000000"/>
              </w:rPr>
            </w:pPr>
            <w:r>
              <w:rPr>
                <w:rFonts w:ascii="Arial" w:eastAsia="Calibri" w:hAnsi="Arial" w:cs="Arial"/>
                <w:color w:val="000000"/>
              </w:rPr>
              <w:t>28</w:t>
            </w:r>
            <w:r w:rsidR="00E177ED">
              <w:rPr>
                <w:rFonts w:ascii="Arial" w:eastAsia="Calibri" w:hAnsi="Arial" w:cs="Arial"/>
                <w:color w:val="000000"/>
              </w:rPr>
              <w:t xml:space="preserve"> de febrero</w:t>
            </w:r>
            <w:r w:rsidR="006750F5">
              <w:rPr>
                <w:rFonts w:ascii="Arial" w:eastAsia="Calibri" w:hAnsi="Arial" w:cs="Arial"/>
                <w:color w:val="000000"/>
              </w:rPr>
              <w:t xml:space="preserve"> del 2025</w:t>
            </w:r>
            <w:r w:rsidR="00522C2D" w:rsidRPr="00522C2D">
              <w:rPr>
                <w:rFonts w:ascii="Arial" w:eastAsia="Calibri" w:hAnsi="Arial" w:cs="Arial"/>
                <w:color w:val="000000"/>
              </w:rPr>
              <w:t xml:space="preserve"> a las </w:t>
            </w:r>
            <w:r w:rsidR="00522C2D" w:rsidRPr="00522C2D">
              <w:rPr>
                <w:rFonts w:ascii="Arial" w:eastAsia="Calibri" w:hAnsi="Arial" w:cs="Arial"/>
              </w:rPr>
              <w:t>13:00 horas, Oficinas del Órgano de Control Interno de Tlajomulco de Zúñiga, ubicado en calle Independencia #105, colonia centro, en Tlajomulco de Zúñiga, Jalisco.</w:t>
            </w:r>
          </w:p>
        </w:tc>
      </w:tr>
      <w:tr w:rsidR="00522C2D" w:rsidRPr="00522C2D" w14:paraId="189755C7" w14:textId="77777777" w:rsidTr="000E3235">
        <w:trPr>
          <w:trHeight w:val="1233"/>
        </w:trPr>
        <w:tc>
          <w:tcPr>
            <w:tcW w:w="4390" w:type="dxa"/>
          </w:tcPr>
          <w:p w14:paraId="110341B3"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Apertura de propuestas. Se invita a los licitantes a participar en el evento</w:t>
            </w:r>
          </w:p>
        </w:tc>
        <w:tc>
          <w:tcPr>
            <w:tcW w:w="4677" w:type="dxa"/>
          </w:tcPr>
          <w:p w14:paraId="44FC2800" w14:textId="3FDB12D4" w:rsidR="00522C2D" w:rsidRPr="00522C2D" w:rsidRDefault="00D2696D" w:rsidP="00522C2D">
            <w:pPr>
              <w:spacing w:after="200"/>
              <w:jc w:val="both"/>
              <w:rPr>
                <w:rFonts w:ascii="Arial" w:eastAsia="Calibri" w:hAnsi="Arial" w:cs="Arial"/>
                <w:color w:val="000000"/>
              </w:rPr>
            </w:pPr>
            <w:r>
              <w:rPr>
                <w:rFonts w:ascii="Arial" w:eastAsia="Calibri" w:hAnsi="Arial" w:cs="Arial"/>
                <w:color w:val="000000"/>
              </w:rPr>
              <w:t>28</w:t>
            </w:r>
            <w:r w:rsidR="000555C8">
              <w:rPr>
                <w:rFonts w:ascii="Arial" w:eastAsia="Calibri" w:hAnsi="Arial" w:cs="Arial"/>
                <w:color w:val="000000"/>
              </w:rPr>
              <w:t xml:space="preserve"> </w:t>
            </w:r>
            <w:r w:rsidR="00E177ED">
              <w:rPr>
                <w:rFonts w:ascii="Arial" w:eastAsia="Calibri" w:hAnsi="Arial" w:cs="Arial"/>
                <w:color w:val="000000"/>
              </w:rPr>
              <w:t>de febrero</w:t>
            </w:r>
            <w:r w:rsidR="0032011D">
              <w:rPr>
                <w:rFonts w:ascii="Arial" w:eastAsia="Calibri" w:hAnsi="Arial" w:cs="Arial"/>
                <w:color w:val="000000"/>
              </w:rPr>
              <w:t xml:space="preserve"> del 2025</w:t>
            </w:r>
            <w:r w:rsidR="00522C2D" w:rsidRPr="00522C2D">
              <w:rPr>
                <w:rFonts w:ascii="Arial" w:eastAsia="Calibri" w:hAnsi="Arial" w:cs="Arial"/>
                <w:color w:val="000000"/>
              </w:rPr>
              <w:t xml:space="preserve">, a las </w:t>
            </w:r>
            <w:r w:rsidR="00522C2D" w:rsidRPr="00522C2D">
              <w:rPr>
                <w:rFonts w:ascii="Arial" w:eastAsia="Calibri" w:hAnsi="Arial" w:cs="Arial"/>
              </w:rPr>
              <w:t>13:10 horas, Oficinas del Órgano de Control Interno de Tlajomulco de Zúñiga, ubicado en calle Independencia #105, colonia centro, en Tlajomulco de Zúñiga, Jalisco.</w:t>
            </w:r>
          </w:p>
        </w:tc>
      </w:tr>
      <w:tr w:rsidR="00522C2D" w:rsidRPr="00522C2D" w14:paraId="3AC8AC28" w14:textId="77777777" w:rsidTr="000E3235">
        <w:trPr>
          <w:trHeight w:val="669"/>
        </w:trPr>
        <w:tc>
          <w:tcPr>
            <w:tcW w:w="4390" w:type="dxa"/>
          </w:tcPr>
          <w:p w14:paraId="00C27B9A"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lastRenderedPageBreak/>
              <w:t xml:space="preserve">Fecha de Publicación de Fallo </w:t>
            </w:r>
          </w:p>
        </w:tc>
        <w:tc>
          <w:tcPr>
            <w:tcW w:w="4677" w:type="dxa"/>
          </w:tcPr>
          <w:p w14:paraId="400C8149"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Desde la fecha de apertura de propuestas o hasta 20 días posteriores</w:t>
            </w:r>
          </w:p>
        </w:tc>
      </w:tr>
      <w:tr w:rsidR="00522C2D" w:rsidRPr="00522C2D" w14:paraId="3AD5B6A5" w14:textId="77777777" w:rsidTr="000E3235">
        <w:trPr>
          <w:trHeight w:val="906"/>
        </w:trPr>
        <w:tc>
          <w:tcPr>
            <w:tcW w:w="4390" w:type="dxa"/>
          </w:tcPr>
          <w:p w14:paraId="3F814948" w14:textId="77777777" w:rsidR="00522C2D" w:rsidRPr="00522C2D" w:rsidRDefault="00522C2D" w:rsidP="00522C2D">
            <w:pPr>
              <w:rPr>
                <w:rFonts w:ascii="Arial" w:eastAsia="Calibri" w:hAnsi="Arial" w:cs="Arial"/>
              </w:rPr>
            </w:pPr>
            <w:r w:rsidRPr="00522C2D">
              <w:rPr>
                <w:rFonts w:ascii="Arial" w:eastAsia="Calibri" w:hAnsi="Arial" w:cs="Arial"/>
              </w:rPr>
              <w:t>Domicilio de las Oficinas del Órgano de Control Interno donde podrán presentarse inconformidades.</w:t>
            </w:r>
          </w:p>
        </w:tc>
        <w:tc>
          <w:tcPr>
            <w:tcW w:w="4677" w:type="dxa"/>
          </w:tcPr>
          <w:p w14:paraId="5DE52553" w14:textId="77777777" w:rsidR="00522C2D" w:rsidRPr="00522C2D" w:rsidRDefault="00522C2D" w:rsidP="00522C2D">
            <w:pPr>
              <w:rPr>
                <w:rFonts w:ascii="Arial" w:eastAsia="Calibri" w:hAnsi="Arial" w:cs="Arial"/>
              </w:rPr>
            </w:pPr>
            <w:r w:rsidRPr="00522C2D">
              <w:rPr>
                <w:rFonts w:ascii="Arial" w:eastAsia="Calibri" w:hAnsi="Arial" w:cs="Arial"/>
              </w:rPr>
              <w:t>Calle Independencia #105 Sur, colonia centro en Tlajomulco de Zúñiga, Jalisco.</w:t>
            </w:r>
          </w:p>
        </w:tc>
      </w:tr>
    </w:tbl>
    <w:p w14:paraId="33CCBB72" w14:textId="77777777" w:rsidR="00522C2D" w:rsidRDefault="00522C2D" w:rsidP="00522C2D">
      <w:pPr>
        <w:spacing w:after="0" w:line="240" w:lineRule="auto"/>
        <w:jc w:val="both"/>
        <w:rPr>
          <w:rFonts w:ascii="Calibri" w:eastAsia="Times New Roman" w:hAnsi="Calibri" w:cs="Times New Roman"/>
          <w:b/>
          <w:kern w:val="0"/>
          <w:lang w:eastAsia="es-MX"/>
          <w14:ligatures w14:val="none"/>
        </w:rPr>
      </w:pPr>
    </w:p>
    <w:tbl>
      <w:tblPr>
        <w:tblStyle w:val="Tablaconcuadrcula"/>
        <w:tblW w:w="9870" w:type="dxa"/>
        <w:tblInd w:w="-661" w:type="dxa"/>
        <w:tblLook w:val="04A0" w:firstRow="1" w:lastRow="0" w:firstColumn="1" w:lastColumn="0" w:noHBand="0" w:noVBand="1"/>
      </w:tblPr>
      <w:tblGrid>
        <w:gridCol w:w="1100"/>
        <w:gridCol w:w="5698"/>
        <w:gridCol w:w="281"/>
        <w:gridCol w:w="1642"/>
        <w:gridCol w:w="1149"/>
      </w:tblGrid>
      <w:tr w:rsidR="00823361" w:rsidRPr="00B12C9B" w14:paraId="07D068D5" w14:textId="77777777" w:rsidTr="00823361">
        <w:trPr>
          <w:trHeight w:val="240"/>
        </w:trPr>
        <w:tc>
          <w:tcPr>
            <w:tcW w:w="1100" w:type="dxa"/>
            <w:shd w:val="clear" w:color="auto" w:fill="000000" w:themeFill="text1"/>
            <w:noWrap/>
          </w:tcPr>
          <w:p w14:paraId="40F7DCDB" w14:textId="77777777" w:rsidR="00823361" w:rsidRPr="00210035" w:rsidRDefault="00823361" w:rsidP="00742A52">
            <w:pPr>
              <w:jc w:val="center"/>
              <w:rPr>
                <w:rFonts w:ascii="Verdana" w:hAnsi="Verdana"/>
                <w:sz w:val="20"/>
                <w:szCs w:val="20"/>
              </w:rPr>
            </w:pPr>
            <w:bookmarkStart w:id="2" w:name="_Hlk187223718"/>
            <w:r w:rsidRPr="00210035">
              <w:rPr>
                <w:rFonts w:ascii="Verdana" w:hAnsi="Verdana"/>
                <w:sz w:val="20"/>
                <w:szCs w:val="20"/>
              </w:rPr>
              <w:t>PARTIDA</w:t>
            </w:r>
          </w:p>
        </w:tc>
        <w:tc>
          <w:tcPr>
            <w:tcW w:w="5698" w:type="dxa"/>
            <w:tcBorders>
              <w:top w:val="nil"/>
            </w:tcBorders>
            <w:shd w:val="clear" w:color="auto" w:fill="000000" w:themeFill="text1"/>
            <w:noWrap/>
          </w:tcPr>
          <w:p w14:paraId="7FE09320" w14:textId="77777777" w:rsidR="00823361" w:rsidRPr="00210035" w:rsidRDefault="00823361" w:rsidP="00742A52">
            <w:pPr>
              <w:pStyle w:val="TableParagraph"/>
              <w:spacing w:before="11"/>
              <w:rPr>
                <w:rFonts w:ascii="Verdana" w:hAnsi="Verdana"/>
                <w:sz w:val="20"/>
                <w:szCs w:val="20"/>
              </w:rPr>
            </w:pPr>
            <w:r w:rsidRPr="00210035">
              <w:rPr>
                <w:rFonts w:ascii="Verdana" w:hAnsi="Verdana"/>
                <w:sz w:val="20"/>
                <w:szCs w:val="20"/>
              </w:rPr>
              <w:t>DESCRIPCION</w:t>
            </w:r>
          </w:p>
        </w:tc>
        <w:tc>
          <w:tcPr>
            <w:tcW w:w="1923" w:type="dxa"/>
            <w:gridSpan w:val="2"/>
            <w:shd w:val="clear" w:color="auto" w:fill="000000" w:themeFill="text1"/>
            <w:noWrap/>
          </w:tcPr>
          <w:p w14:paraId="65791D19" w14:textId="670D7A73" w:rsidR="00823361" w:rsidRPr="00210035" w:rsidRDefault="00823361" w:rsidP="00742A52">
            <w:pPr>
              <w:jc w:val="center"/>
              <w:rPr>
                <w:rFonts w:ascii="Verdana" w:hAnsi="Verdana"/>
                <w:sz w:val="20"/>
                <w:szCs w:val="20"/>
              </w:rPr>
            </w:pPr>
            <w:r>
              <w:rPr>
                <w:rFonts w:ascii="Verdana" w:hAnsi="Verdana"/>
                <w:sz w:val="20"/>
                <w:szCs w:val="20"/>
              </w:rPr>
              <w:t xml:space="preserve">   </w:t>
            </w:r>
            <w:r w:rsidRPr="00210035">
              <w:rPr>
                <w:rFonts w:ascii="Verdana" w:hAnsi="Verdana"/>
                <w:sz w:val="20"/>
                <w:szCs w:val="20"/>
              </w:rPr>
              <w:t>CANTIDAD</w:t>
            </w:r>
          </w:p>
        </w:tc>
        <w:tc>
          <w:tcPr>
            <w:tcW w:w="1149" w:type="dxa"/>
            <w:shd w:val="clear" w:color="auto" w:fill="000000" w:themeFill="text1"/>
          </w:tcPr>
          <w:p w14:paraId="725E2644" w14:textId="516C0C53" w:rsidR="00823361" w:rsidRPr="00210035" w:rsidRDefault="00823361" w:rsidP="003A7CE8">
            <w:pPr>
              <w:rPr>
                <w:rFonts w:ascii="Verdana" w:hAnsi="Verdana"/>
                <w:sz w:val="20"/>
                <w:szCs w:val="20"/>
              </w:rPr>
            </w:pPr>
            <w:r>
              <w:rPr>
                <w:rFonts w:ascii="Verdana" w:hAnsi="Verdana"/>
                <w:sz w:val="20"/>
                <w:szCs w:val="20"/>
              </w:rPr>
              <w:t xml:space="preserve">  </w:t>
            </w:r>
            <w:r w:rsidRPr="00210035">
              <w:rPr>
                <w:rFonts w:ascii="Verdana" w:hAnsi="Verdana"/>
                <w:sz w:val="20"/>
                <w:szCs w:val="20"/>
              </w:rPr>
              <w:t>U/M</w:t>
            </w:r>
          </w:p>
        </w:tc>
      </w:tr>
      <w:tr w:rsidR="00823361" w:rsidRPr="00B12C9B" w14:paraId="4A023409" w14:textId="77777777" w:rsidTr="00823361">
        <w:trPr>
          <w:trHeight w:val="1069"/>
        </w:trPr>
        <w:tc>
          <w:tcPr>
            <w:tcW w:w="1100" w:type="dxa"/>
            <w:shd w:val="clear" w:color="auto" w:fill="auto"/>
            <w:noWrap/>
          </w:tcPr>
          <w:p w14:paraId="615270F8" w14:textId="77777777" w:rsidR="00823361" w:rsidRPr="003A7CE8" w:rsidRDefault="00823361" w:rsidP="00742A52">
            <w:pPr>
              <w:pStyle w:val="Sinespaciado"/>
            </w:pPr>
            <w:bookmarkStart w:id="3" w:name="_Hlk189833558"/>
          </w:p>
          <w:p w14:paraId="32C4BFC6" w14:textId="77777777" w:rsidR="00823361" w:rsidRPr="003A7CE8" w:rsidRDefault="00823361" w:rsidP="00742A52">
            <w:pPr>
              <w:pStyle w:val="Sinespaciado"/>
            </w:pPr>
          </w:p>
          <w:p w14:paraId="40FDD510" w14:textId="77777777" w:rsidR="00823361" w:rsidRPr="003A7CE8" w:rsidRDefault="00823361" w:rsidP="00742A52">
            <w:pPr>
              <w:pStyle w:val="Sinespaciado"/>
              <w:jc w:val="center"/>
            </w:pPr>
          </w:p>
          <w:p w14:paraId="64E3A140" w14:textId="77777777" w:rsidR="00823361" w:rsidRPr="003A7CE8" w:rsidRDefault="00823361" w:rsidP="00742A52">
            <w:pPr>
              <w:pStyle w:val="Sinespaciado"/>
              <w:jc w:val="center"/>
            </w:pPr>
            <w:r w:rsidRPr="003A7CE8">
              <w:t>1</w:t>
            </w:r>
          </w:p>
          <w:p w14:paraId="0BADF74F" w14:textId="77777777" w:rsidR="00823361" w:rsidRPr="003A7CE8" w:rsidRDefault="00823361" w:rsidP="00742A52">
            <w:pPr>
              <w:pStyle w:val="Sinespaciado"/>
              <w:jc w:val="center"/>
            </w:pPr>
          </w:p>
        </w:tc>
        <w:tc>
          <w:tcPr>
            <w:tcW w:w="5979" w:type="dxa"/>
            <w:gridSpan w:val="2"/>
            <w:tcBorders>
              <w:top w:val="nil"/>
              <w:left w:val="nil"/>
              <w:bottom w:val="single" w:sz="8" w:space="0" w:color="auto"/>
              <w:right w:val="single" w:sz="8" w:space="0" w:color="auto"/>
            </w:tcBorders>
            <w:shd w:val="clear" w:color="auto" w:fill="auto"/>
            <w:noWrap/>
            <w:vAlign w:val="center"/>
          </w:tcPr>
          <w:p w14:paraId="19022214" w14:textId="3765426B" w:rsidR="00E177ED" w:rsidRPr="00E177ED" w:rsidRDefault="00E177ED" w:rsidP="00E177ED">
            <w:pPr>
              <w:rPr>
                <w:rFonts w:ascii="Tahoma" w:eastAsia="Times New Roman" w:hAnsi="Tahoma" w:cs="Tahoma"/>
                <w:color w:val="000000"/>
                <w:kern w:val="0"/>
                <w:lang w:val="es-ES" w:eastAsia="es-MX"/>
                <w14:ligatures w14:val="none"/>
              </w:rPr>
            </w:pPr>
            <w:r w:rsidRPr="00E177ED">
              <w:rPr>
                <w:rFonts w:ascii="Tahoma" w:eastAsia="Times New Roman" w:hAnsi="Tahoma" w:cs="Tahoma"/>
                <w:color w:val="000000"/>
                <w:kern w:val="0"/>
                <w:lang w:val="es-ES" w:eastAsia="es-MX"/>
                <w14:ligatures w14:val="none"/>
              </w:rPr>
              <w:t xml:space="preserve">Arco meta inflable en lona con impresión </w:t>
            </w:r>
            <w:r w:rsidR="002249C7">
              <w:rPr>
                <w:rFonts w:ascii="Tahoma" w:eastAsia="Times New Roman" w:hAnsi="Tahoma" w:cs="Tahoma"/>
                <w:color w:val="000000"/>
                <w:kern w:val="0"/>
                <w:lang w:val="es-ES" w:eastAsia="es-MX"/>
                <w14:ligatures w14:val="none"/>
              </w:rPr>
              <w:t>del logotipo oficial del COMUDE Tlajomulco</w:t>
            </w:r>
            <w:r w:rsidR="00096E5C">
              <w:rPr>
                <w:rFonts w:ascii="Tahoma" w:eastAsia="Times New Roman" w:hAnsi="Tahoma" w:cs="Tahoma"/>
                <w:color w:val="000000"/>
                <w:kern w:val="0"/>
                <w:lang w:val="es-ES" w:eastAsia="es-MX"/>
                <w14:ligatures w14:val="none"/>
              </w:rPr>
              <w:t xml:space="preserve"> y texto</w:t>
            </w:r>
            <w:r w:rsidR="002249C7">
              <w:rPr>
                <w:rFonts w:ascii="Tahoma" w:eastAsia="Times New Roman" w:hAnsi="Tahoma" w:cs="Tahoma"/>
                <w:color w:val="000000"/>
                <w:kern w:val="0"/>
                <w:lang w:val="es-ES" w:eastAsia="es-MX"/>
                <w14:ligatures w14:val="none"/>
              </w:rPr>
              <w:t xml:space="preserve"> </w:t>
            </w:r>
            <w:r w:rsidRPr="00E177ED">
              <w:rPr>
                <w:rFonts w:ascii="Tahoma" w:eastAsia="Times New Roman" w:hAnsi="Tahoma" w:cs="Tahoma"/>
                <w:color w:val="000000"/>
                <w:kern w:val="0"/>
                <w:lang w:val="es-ES" w:eastAsia="es-MX"/>
                <w14:ligatures w14:val="none"/>
              </w:rPr>
              <w:t>en travesaño y postes laterales, con medida de 7x3 mts. que incluya motor.</w:t>
            </w:r>
          </w:p>
          <w:p w14:paraId="2BF54A1F" w14:textId="249906FD" w:rsidR="00823361" w:rsidRPr="003A7CE8" w:rsidRDefault="00823361" w:rsidP="003A7CE8">
            <w:pPr>
              <w:pStyle w:val="Sinespaciado"/>
              <w:jc w:val="both"/>
              <w:rPr>
                <w:rFonts w:ascii="Tahoma" w:eastAsia="Times New Roman" w:hAnsi="Tahoma" w:cs="Tahoma"/>
                <w:color w:val="000000"/>
                <w:lang w:eastAsia="es-MX"/>
              </w:rPr>
            </w:pPr>
          </w:p>
        </w:tc>
        <w:tc>
          <w:tcPr>
            <w:tcW w:w="1642" w:type="dxa"/>
            <w:tcBorders>
              <w:top w:val="nil"/>
              <w:left w:val="nil"/>
              <w:bottom w:val="single" w:sz="8" w:space="0" w:color="auto"/>
              <w:right w:val="single" w:sz="8" w:space="0" w:color="auto"/>
            </w:tcBorders>
            <w:shd w:val="clear" w:color="auto" w:fill="auto"/>
            <w:noWrap/>
            <w:vAlign w:val="center"/>
          </w:tcPr>
          <w:p w14:paraId="7C29587B" w14:textId="56FBB31C" w:rsidR="00823361" w:rsidRPr="003A7CE8" w:rsidRDefault="00E177ED" w:rsidP="00CA74C0">
            <w:pPr>
              <w:pStyle w:val="Sinespaciado"/>
              <w:jc w:val="center"/>
              <w:rPr>
                <w:rFonts w:ascii="Tahoma" w:hAnsi="Tahoma" w:cs="Tahoma"/>
              </w:rPr>
            </w:pPr>
            <w:r>
              <w:rPr>
                <w:rFonts w:ascii="Tahoma" w:hAnsi="Tahoma" w:cs="Tahoma"/>
              </w:rPr>
              <w:t>1</w:t>
            </w:r>
          </w:p>
        </w:tc>
        <w:tc>
          <w:tcPr>
            <w:tcW w:w="1149" w:type="dxa"/>
            <w:tcBorders>
              <w:top w:val="nil"/>
              <w:left w:val="nil"/>
              <w:bottom w:val="single" w:sz="8" w:space="0" w:color="auto"/>
              <w:right w:val="single" w:sz="8" w:space="0" w:color="auto"/>
            </w:tcBorders>
            <w:shd w:val="clear" w:color="auto" w:fill="auto"/>
            <w:vAlign w:val="center"/>
          </w:tcPr>
          <w:p w14:paraId="593462FD" w14:textId="11131E8E" w:rsidR="00823361" w:rsidRPr="003A7CE8" w:rsidRDefault="00823361" w:rsidP="00742A52">
            <w:pPr>
              <w:pStyle w:val="Sinespaciado"/>
              <w:jc w:val="center"/>
              <w:rPr>
                <w:rFonts w:ascii="Tahoma" w:hAnsi="Tahoma" w:cs="Tahoma"/>
              </w:rPr>
            </w:pPr>
            <w:r w:rsidRPr="003A7CE8">
              <w:rPr>
                <w:rFonts w:ascii="Tahoma" w:hAnsi="Tahoma" w:cs="Tahoma"/>
              </w:rPr>
              <w:t>pieza</w:t>
            </w:r>
          </w:p>
        </w:tc>
      </w:tr>
      <w:bookmarkEnd w:id="2"/>
      <w:bookmarkEnd w:id="3"/>
    </w:tbl>
    <w:p w14:paraId="5FD8DE0F" w14:textId="146F7578" w:rsidR="001F5A3C" w:rsidRDefault="001F5A3C" w:rsidP="00D81A4B">
      <w:pPr>
        <w:tabs>
          <w:tab w:val="left" w:pos="5100"/>
        </w:tabs>
        <w:spacing w:after="0" w:line="240" w:lineRule="auto"/>
        <w:jc w:val="both"/>
        <w:rPr>
          <w:rFonts w:ascii="Calibri" w:eastAsia="Times New Roman" w:hAnsi="Calibri" w:cs="Times New Roman"/>
          <w:b/>
          <w:kern w:val="0"/>
          <w:lang w:eastAsia="es-MX"/>
          <w14:ligatures w14:val="none"/>
        </w:rPr>
      </w:pPr>
    </w:p>
    <w:p w14:paraId="11947922" w14:textId="5DF611AD" w:rsidR="00257584" w:rsidRDefault="0081028D" w:rsidP="00770466">
      <w:pPr>
        <w:spacing w:after="0" w:line="240" w:lineRule="auto"/>
        <w:jc w:val="both"/>
        <w:rPr>
          <w:b/>
        </w:rPr>
      </w:pPr>
      <w:r w:rsidRPr="0081028D">
        <w:rPr>
          <w:b/>
        </w:rPr>
        <w:t>Primera licitación fue publicada el día 07 de febrero del 2025 y vencida el día 1</w:t>
      </w:r>
      <w:r>
        <w:rPr>
          <w:b/>
        </w:rPr>
        <w:t>7</w:t>
      </w:r>
      <w:r w:rsidRPr="0081028D">
        <w:rPr>
          <w:b/>
        </w:rPr>
        <w:t xml:space="preserve"> de febrero del 2025, la cual se declaró desierta ya que no se presentaron el mínimo de propuestas señaladas en el artículo 72, Fracción VI de la Ley de Compras Gubernamentales, Enajenaciones y Contratación de Servicios del Estado de Jalisco y sus Municipios. Por lo que este proceso es la segunda convocatoria publicada</w:t>
      </w:r>
      <w:r>
        <w:rPr>
          <w:b/>
        </w:rPr>
        <w:t>.</w:t>
      </w:r>
    </w:p>
    <w:p w14:paraId="2D80C023" w14:textId="77777777" w:rsidR="00E177ED" w:rsidRPr="00E177ED" w:rsidRDefault="00E177ED" w:rsidP="00E177ED">
      <w:pPr>
        <w:spacing w:after="0" w:line="240" w:lineRule="auto"/>
        <w:jc w:val="both"/>
        <w:rPr>
          <w:rFonts w:ascii="Calibri" w:eastAsia="Times New Roman" w:hAnsi="Calibri" w:cs="Times New Roman"/>
          <w:b/>
          <w:kern w:val="0"/>
          <w:lang w:eastAsia="es-MX"/>
          <w14:ligatures w14:val="none"/>
        </w:rPr>
      </w:pPr>
      <w:r w:rsidRPr="00E177ED">
        <w:rPr>
          <w:rFonts w:ascii="Calibri" w:eastAsia="Times New Roman" w:hAnsi="Calibri" w:cs="Times New Roman"/>
          <w:b/>
          <w:kern w:val="0"/>
          <w:lang w:eastAsia="es-MX"/>
          <w14:ligatures w14:val="none"/>
        </w:rPr>
        <w:t xml:space="preserve">Nota: La presente licitación será a un solo proveedor </w:t>
      </w:r>
    </w:p>
    <w:p w14:paraId="0414291C" w14:textId="71EFF43B" w:rsidR="00522C2D" w:rsidRPr="00522C2D" w:rsidRDefault="00E177ED" w:rsidP="00E177ED">
      <w:pPr>
        <w:spacing w:after="0" w:line="240" w:lineRule="auto"/>
        <w:jc w:val="both"/>
        <w:rPr>
          <w:rFonts w:ascii="Calibri" w:eastAsia="Times New Roman" w:hAnsi="Calibri" w:cs="Times New Roman"/>
          <w:b/>
          <w:kern w:val="0"/>
          <w:lang w:eastAsia="es-MX"/>
          <w14:ligatures w14:val="none"/>
        </w:rPr>
      </w:pPr>
      <w:r w:rsidRPr="00E177ED">
        <w:rPr>
          <w:rFonts w:ascii="Calibri" w:eastAsia="Times New Roman" w:hAnsi="Calibri" w:cs="Times New Roman"/>
          <w:b/>
          <w:kern w:val="0"/>
          <w:lang w:eastAsia="es-MX"/>
          <w14:ligatures w14:val="none"/>
        </w:rPr>
        <w:t>la partida adjudicada deberá ser entregada posterior a la entrega de la orden de compra</w:t>
      </w:r>
      <w:r w:rsidR="00522C2D" w:rsidRPr="00522C2D">
        <w:rPr>
          <w:rFonts w:ascii="Calibri" w:eastAsia="Times New Roman" w:hAnsi="Calibri" w:cs="Times New Roman"/>
          <w:b/>
          <w:kern w:val="0"/>
          <w:lang w:eastAsia="es-MX"/>
          <w14:ligatures w14:val="none"/>
        </w:rPr>
        <w:t>, en un plazo no mayor a 10 días Después de la convocatoria concluida en el domicilio calle Constitución Oriente no. 157, Int. B, en el Municipio de Tlajomulco de Zúñiga, Jalisco, La compra de lo adjudicado no será mayor de acuerdo con el tope presupuestal del ejercicio en curso</w:t>
      </w:r>
    </w:p>
    <w:p w14:paraId="1479BB84" w14:textId="77777777" w:rsidR="00522C2D" w:rsidRDefault="00522C2D" w:rsidP="00522C2D">
      <w:pPr>
        <w:spacing w:after="0" w:line="240" w:lineRule="auto"/>
        <w:jc w:val="both"/>
        <w:rPr>
          <w:rFonts w:ascii="Calibri" w:eastAsia="Times New Roman" w:hAnsi="Calibri" w:cs="Times New Roman"/>
          <w:b/>
          <w:kern w:val="0"/>
          <w:lang w:eastAsia="es-MX"/>
          <w14:ligatures w14:val="none"/>
        </w:rPr>
      </w:pPr>
    </w:p>
    <w:p w14:paraId="5C87C052"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50CB06C2"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0192CBAF"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51BD722B"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69E2E23D"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7D6FC7F9"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6CA2DAAE"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6D3B5B5D"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6E3C21DC"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5B0B6245"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65A410D7"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092CAD4A"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3B238DA4"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66259135"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275D161B"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7C5C1754"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097F977D"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71AA4EB8"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2913D851"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6DFFCC41" w14:textId="77777777" w:rsidR="00823361" w:rsidRPr="00522C2D" w:rsidRDefault="00823361" w:rsidP="00522C2D">
      <w:pPr>
        <w:spacing w:after="0" w:line="240" w:lineRule="auto"/>
        <w:jc w:val="both"/>
        <w:rPr>
          <w:rFonts w:ascii="Calibri" w:eastAsia="Times New Roman" w:hAnsi="Calibri" w:cs="Times New Roman"/>
          <w:b/>
          <w:kern w:val="0"/>
          <w:lang w:eastAsia="es-MX"/>
          <w14:ligatures w14:val="none"/>
        </w:rPr>
      </w:pPr>
    </w:p>
    <w:p w14:paraId="405BA94C" w14:textId="77777777" w:rsidR="00522C2D" w:rsidRPr="00522C2D" w:rsidRDefault="00522C2D" w:rsidP="00522C2D">
      <w:pPr>
        <w:spacing w:after="0" w:line="240" w:lineRule="auto"/>
        <w:jc w:val="center"/>
        <w:rPr>
          <w:rFonts w:ascii="Calibri" w:eastAsia="Times New Roman" w:hAnsi="Calibri" w:cs="Times New Roman"/>
          <w:b/>
          <w:kern w:val="0"/>
          <w:lang w:eastAsia="es-MX"/>
          <w14:ligatures w14:val="none"/>
        </w:rPr>
      </w:pPr>
      <w:r w:rsidRPr="00522C2D">
        <w:rPr>
          <w:rFonts w:ascii="Calibri" w:eastAsia="Times New Roman" w:hAnsi="Calibri" w:cs="Times New Roman"/>
          <w:b/>
          <w:kern w:val="0"/>
          <w:sz w:val="28"/>
          <w:szCs w:val="28"/>
          <w:lang w:eastAsia="es-MX"/>
          <w14:ligatures w14:val="none"/>
        </w:rPr>
        <w:lastRenderedPageBreak/>
        <w:t>Bases</w:t>
      </w:r>
    </w:p>
    <w:p w14:paraId="177A97E3" w14:textId="77777777" w:rsidR="00522C2D" w:rsidRPr="00522C2D" w:rsidRDefault="00522C2D" w:rsidP="00522C2D">
      <w:pPr>
        <w:spacing w:after="0" w:line="240" w:lineRule="auto"/>
        <w:jc w:val="both"/>
        <w:rPr>
          <w:rFonts w:ascii="Calibri" w:eastAsia="Times New Roman" w:hAnsi="Calibri" w:cs="Times New Roman"/>
          <w:b/>
          <w:kern w:val="0"/>
          <w:lang w:eastAsia="es-MX"/>
          <w14:ligatures w14:val="none"/>
        </w:rPr>
      </w:pPr>
    </w:p>
    <w:p w14:paraId="552199AF" w14:textId="77777777" w:rsidR="00522C2D" w:rsidRPr="00522C2D" w:rsidRDefault="00522C2D" w:rsidP="00522C2D">
      <w:pPr>
        <w:spacing w:after="0" w:line="240" w:lineRule="auto"/>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 Los invitamos a registrarse en nuestro Padrón de Proveedores, información al teléfono 32834400 ext. 3260.</w:t>
      </w:r>
    </w:p>
    <w:p w14:paraId="0511AD9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23D13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4C18948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607F3A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5A1B7FB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BFEBFA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270C65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1954FF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5.- El precio del bien o servicio objeto de la presente licitación, deberá estar especificado en moneda nacional, desglosando el I.V.A.</w:t>
      </w:r>
    </w:p>
    <w:p w14:paraId="7828CEE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095710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6.- Detallar claramente las especificaciones de lo ofertado, el tiempo de entrega en días naturales y la garantía con la que cuentan.</w:t>
      </w:r>
    </w:p>
    <w:p w14:paraId="101D9A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AB2222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7.- Los conceptos y partidas de la cotización deberán ser en el mismo orden que se establezcan en la licitación. Así como en la factura de quien resulte adjudicado.</w:t>
      </w:r>
    </w:p>
    <w:p w14:paraId="7ED5C4E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F0BB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8.- En la descripción de los bienes, deberán indicar marca y modelo. En bienes y servicios deberá señalar cantidades de los bienes y servicios, precio unitario, subtotal, I.V.A. desglosado o mencionar si el producto es exento de I.V.A. y el gran total.</w:t>
      </w:r>
    </w:p>
    <w:p w14:paraId="534B4EC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B18FBD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588108C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3B305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10.- Los licitantes deberán de adjuntar impresión legible y completa del Documento expedido por el SAT, del que se desprenda que el licitante se encuentra domiciliado en el Estado de Jalisco.</w:t>
      </w:r>
    </w:p>
    <w:p w14:paraId="1EBB006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70A639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11.- Los licitantes deberán de adjuntar impresión legible y completa de comprobante de domicilio a su nombre con una vigencia de emisión no mayor a 90 días naturales contados a partir de la entrega de las propuestas.</w:t>
      </w:r>
    </w:p>
    <w:p w14:paraId="349BE70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BFB00CF"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12.- La cotización solamente podrá ser considerada si es recibida dentro del término y condiciones establecidas.</w:t>
      </w:r>
    </w:p>
    <w:p w14:paraId="475AFC6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892219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lastRenderedPageBreak/>
        <w:t>13.- A manera de poder ser evaluada la propuesta, se DEBERÁ presentar ficha técnica, manuales, certificaciones y todos los documentos que comprueben la calidad ofertada.</w:t>
      </w:r>
    </w:p>
    <w:p w14:paraId="692032D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34C364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6DCB3481"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7AA3C97"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15.- Se notificará a través del correo electrónico proporcionado el pedido (Orden de Compra) adjudicado, señalándose las cantidades de bienes o servicios a suministrar o ejecutar, mismos que podrán ser adjudicados de manera parcial o total.</w:t>
      </w:r>
    </w:p>
    <w:p w14:paraId="48E32CE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4E3F18D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65A82E3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a)</w:t>
      </w:r>
      <w:r w:rsidRPr="00522C2D">
        <w:rPr>
          <w:rFonts w:ascii="Arial" w:eastAsia="Times New Roman" w:hAnsi="Arial" w:cs="Arial"/>
          <w:kern w:val="0"/>
          <w:sz w:val="21"/>
          <w:szCs w:val="21"/>
          <w:lang w:eastAsia="es-MX"/>
          <w14:ligatures w14:val="none"/>
        </w:rPr>
        <w:tab/>
        <w:t>Depósito en efectivo realizado a través de la Tesorería Municipal para tal efecto.</w:t>
      </w:r>
    </w:p>
    <w:p w14:paraId="0002E754"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b)</w:t>
      </w:r>
      <w:r w:rsidRPr="00522C2D">
        <w:rPr>
          <w:rFonts w:ascii="Arial" w:eastAsia="Times New Roman" w:hAnsi="Arial" w:cs="Arial"/>
          <w:kern w:val="0"/>
          <w:sz w:val="21"/>
          <w:szCs w:val="21"/>
          <w:lang w:eastAsia="es-MX"/>
          <w14:ligatures w14:val="none"/>
        </w:rPr>
        <w:tab/>
        <w:t>Cheque certificado.</w:t>
      </w:r>
    </w:p>
    <w:p w14:paraId="0A713D1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c)</w:t>
      </w:r>
      <w:r w:rsidRPr="00522C2D">
        <w:rPr>
          <w:rFonts w:ascii="Arial" w:eastAsia="Times New Roman" w:hAnsi="Arial" w:cs="Arial"/>
          <w:kern w:val="0"/>
          <w:sz w:val="21"/>
          <w:szCs w:val="21"/>
          <w:lang w:eastAsia="es-MX"/>
          <w14:ligatures w14:val="none"/>
        </w:rPr>
        <w:tab/>
        <w:t>Una fianza expedida por una institución legalmente establecida.</w:t>
      </w:r>
    </w:p>
    <w:p w14:paraId="354137F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El importe de la garantía será del 10% (diez por ciento) por cumplimiento del importe total de lo adjudicado l. V. A. incluido.</w:t>
      </w:r>
    </w:p>
    <w:p w14:paraId="220D685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La Unidad Centralizada de Compras de Recursos Materiales conservará en custodia dicha garantía, esta se retendrá hasta el momento en que la obligación garantizada se tenga por cumplida, de conformidad con las normas que la regulan.</w:t>
      </w:r>
    </w:p>
    <w:p w14:paraId="77683E9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753561F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1BFD505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FFF4E27"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60660B61"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45CF609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FB8ED8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47D0CC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C5F81F0"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70899A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5FFB3764" w14:textId="77777777" w:rsidR="00522C2D" w:rsidRPr="00522C2D" w:rsidRDefault="00522C2D" w:rsidP="00522C2D">
      <w:pPr>
        <w:spacing w:after="0" w:line="240" w:lineRule="auto"/>
        <w:jc w:val="center"/>
        <w:rPr>
          <w:rFonts w:ascii="Arial" w:eastAsia="Times New Roman" w:hAnsi="Arial" w:cs="Arial"/>
          <w:kern w:val="0"/>
          <w:sz w:val="20"/>
          <w:szCs w:val="20"/>
          <w:lang w:eastAsia="es-MX"/>
          <w14:ligatures w14:val="none"/>
        </w:rPr>
      </w:pPr>
      <w:r w:rsidRPr="00522C2D">
        <w:rPr>
          <w:rFonts w:ascii="Arial" w:eastAsia="Times New Roman" w:hAnsi="Arial" w:cs="Arial"/>
          <w:kern w:val="0"/>
          <w:sz w:val="20"/>
          <w:szCs w:val="20"/>
          <w:lang w:eastAsia="es-MX"/>
          <w14:ligatures w14:val="none"/>
        </w:rPr>
        <w:t xml:space="preserve">SALVADOR DE JESUS ALEJANDRE MENDOZA </w:t>
      </w:r>
    </w:p>
    <w:p w14:paraId="4388D91C" w14:textId="77777777" w:rsidR="00522C2D" w:rsidRPr="00522C2D" w:rsidRDefault="00522C2D" w:rsidP="00522C2D">
      <w:pPr>
        <w:spacing w:after="0" w:line="240" w:lineRule="auto"/>
        <w:jc w:val="center"/>
        <w:rPr>
          <w:rFonts w:ascii="Arial" w:eastAsia="Times New Roman" w:hAnsi="Arial" w:cs="Arial"/>
          <w:b/>
          <w:bCs/>
          <w:kern w:val="0"/>
          <w:sz w:val="20"/>
          <w:szCs w:val="20"/>
          <w:lang w:eastAsia="es-MX"/>
          <w14:ligatures w14:val="none"/>
        </w:rPr>
      </w:pPr>
      <w:r w:rsidRPr="00522C2D">
        <w:rPr>
          <w:rFonts w:ascii="Arial" w:eastAsia="Times New Roman" w:hAnsi="Arial" w:cs="Arial"/>
          <w:b/>
          <w:bCs/>
          <w:kern w:val="0"/>
          <w:sz w:val="20"/>
          <w:szCs w:val="20"/>
          <w:lang w:eastAsia="es-MX"/>
          <w14:ligatures w14:val="none"/>
        </w:rPr>
        <w:t>DIRECTOR GENERAL DEL COMUDE</w:t>
      </w:r>
    </w:p>
    <w:p w14:paraId="05095888" w14:textId="184F86B1" w:rsidR="00522C2D" w:rsidRDefault="00522C2D"/>
    <w:sectPr w:rsidR="00522C2D" w:rsidSect="009E2B51">
      <w:headerReference w:type="even" r:id="rId6"/>
      <w:headerReference w:type="default" r:id="rId7"/>
      <w:footerReference w:type="even" r:id="rId8"/>
      <w:footerReference w:type="default" r:id="rId9"/>
      <w:headerReference w:type="first" r:id="rId10"/>
      <w:footerReference w:type="first" r:id="rId11"/>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7AD77" w14:textId="77777777" w:rsidR="006C66C4" w:rsidRDefault="006C66C4">
      <w:pPr>
        <w:spacing w:after="0" w:line="240" w:lineRule="auto"/>
      </w:pPr>
      <w:r>
        <w:separator/>
      </w:r>
    </w:p>
  </w:endnote>
  <w:endnote w:type="continuationSeparator" w:id="0">
    <w:p w14:paraId="5F3F0117" w14:textId="77777777" w:rsidR="006C66C4" w:rsidRDefault="006C6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5B281" w14:textId="77777777" w:rsidR="00A73AE6" w:rsidRDefault="00A73AE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40C97" w14:textId="1321EA2C" w:rsidR="009E2B51" w:rsidRDefault="009E2B5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FE4E" w14:textId="77777777" w:rsidR="00A73AE6" w:rsidRDefault="00A73A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CE964" w14:textId="77777777" w:rsidR="006C66C4" w:rsidRDefault="006C66C4">
      <w:pPr>
        <w:spacing w:after="0" w:line="240" w:lineRule="auto"/>
      </w:pPr>
      <w:r>
        <w:separator/>
      </w:r>
    </w:p>
  </w:footnote>
  <w:footnote w:type="continuationSeparator" w:id="0">
    <w:p w14:paraId="5A44D238" w14:textId="77777777" w:rsidR="006C66C4" w:rsidRDefault="006C6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085EE" w14:textId="77777777" w:rsidR="00A73AE6" w:rsidRDefault="00A73AE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DE295" w14:textId="16248C2A" w:rsidR="00AA6861" w:rsidRPr="00D2696D" w:rsidRDefault="007060D6" w:rsidP="00D2696D">
    <w:pPr>
      <w:tabs>
        <w:tab w:val="left" w:pos="1935"/>
      </w:tabs>
      <w:ind w:right="615"/>
      <w:rPr>
        <w:b/>
      </w:rPr>
    </w:pPr>
    <w:r w:rsidRPr="00522C2D">
      <w:rPr>
        <w:rFonts w:ascii="Core Rhino 65 Bold" w:hAnsi="Core Rhino 65 Bold" w:cs="Arial"/>
        <w:color w:val="808080"/>
        <w:sz w:val="24"/>
        <w:szCs w:val="24"/>
      </w:rPr>
      <w:tab/>
    </w:r>
  </w:p>
  <w:p w14:paraId="6DEA5F0B" w14:textId="77777777" w:rsidR="00AA6861" w:rsidRPr="00522C2D" w:rsidRDefault="007060D6" w:rsidP="002910B3">
    <w:pPr>
      <w:spacing w:after="0"/>
      <w:jc w:val="center"/>
      <w:rPr>
        <w:rFonts w:ascii="Core Rhino 65 Bold" w:hAnsi="Core Rhino 65 Bold" w:cs="Arial"/>
        <w:color w:val="808080"/>
        <w:sz w:val="2"/>
        <w:szCs w:val="24"/>
      </w:rPr>
    </w:pPr>
    <w:r w:rsidRPr="00522C2D">
      <w:rPr>
        <w:rFonts w:ascii="Core Rhino 65 Bold" w:hAnsi="Core Rhino 65 Bold" w:cs="Arial"/>
        <w:color w:val="808080"/>
        <w:sz w:val="24"/>
        <w:szCs w:val="24"/>
      </w:rPr>
      <w:t>Consejo Municipal del Deporte de Tlajomulco</w:t>
    </w:r>
  </w:p>
  <w:p w14:paraId="534D1F02" w14:textId="77777777" w:rsidR="00AA6861" w:rsidRPr="00522C2D" w:rsidRDefault="007060D6" w:rsidP="002910B3">
    <w:pPr>
      <w:spacing w:after="0"/>
      <w:jc w:val="center"/>
      <w:rPr>
        <w:rFonts w:ascii="Core Rhino 45 Regular" w:hAnsi="Core Rhino 45 Regular" w:cs="Arial"/>
        <w:color w:val="808080"/>
        <w:sz w:val="20"/>
        <w:szCs w:val="20"/>
      </w:rPr>
    </w:pPr>
    <w:r w:rsidRPr="00522C2D">
      <w:rPr>
        <w:rFonts w:ascii="Core Rhino 45 Regular" w:hAnsi="Core Rhino 45 Regular" w:cs="Arial"/>
        <w:color w:val="808080"/>
        <w:sz w:val="20"/>
        <w:szCs w:val="20"/>
      </w:rPr>
      <w:t>Gobierno Municipal de Tlajomulco de Zúñiga 2024-2027</w:t>
    </w:r>
  </w:p>
  <w:p w14:paraId="50AB6CDD" w14:textId="77777777" w:rsidR="00AA6861" w:rsidRPr="00522C2D" w:rsidRDefault="007060D6" w:rsidP="002910B3">
    <w:pPr>
      <w:spacing w:after="0"/>
      <w:jc w:val="center"/>
      <w:rPr>
        <w:rFonts w:ascii="Foco Black" w:eastAsia="Times New Roman" w:hAnsi="Foco Black"/>
        <w:b/>
        <w:color w:val="808080"/>
        <w:shd w:val="clear" w:color="auto" w:fill="FFFFFF"/>
      </w:rPr>
    </w:pPr>
    <w:r w:rsidRPr="00522C2D">
      <w:rPr>
        <w:rFonts w:ascii="Foco Black" w:hAnsi="Foco Black" w:cs="Arial"/>
        <w:b/>
        <w:color w:val="F79646"/>
      </w:rPr>
      <w:t xml:space="preserve">LICITACIÓN SIN CONCURRENCIA DEL COMITÉ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9D430" w14:textId="77777777" w:rsidR="00A73AE6" w:rsidRDefault="00A73AE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2D"/>
    <w:rsid w:val="0000184E"/>
    <w:rsid w:val="00024522"/>
    <w:rsid w:val="00034005"/>
    <w:rsid w:val="000555C8"/>
    <w:rsid w:val="00096E5C"/>
    <w:rsid w:val="000A01E7"/>
    <w:rsid w:val="000A2E48"/>
    <w:rsid w:val="000B3CA0"/>
    <w:rsid w:val="000B4B7B"/>
    <w:rsid w:val="000D7ECA"/>
    <w:rsid w:val="00106E45"/>
    <w:rsid w:val="00112423"/>
    <w:rsid w:val="0017774C"/>
    <w:rsid w:val="001C1817"/>
    <w:rsid w:val="001F5A3C"/>
    <w:rsid w:val="00202004"/>
    <w:rsid w:val="0021149E"/>
    <w:rsid w:val="00212C1D"/>
    <w:rsid w:val="002249C7"/>
    <w:rsid w:val="00257584"/>
    <w:rsid w:val="002741E2"/>
    <w:rsid w:val="0032011D"/>
    <w:rsid w:val="003740D0"/>
    <w:rsid w:val="00381D89"/>
    <w:rsid w:val="00387C65"/>
    <w:rsid w:val="003A7CE8"/>
    <w:rsid w:val="003E4EC4"/>
    <w:rsid w:val="00406749"/>
    <w:rsid w:val="00445078"/>
    <w:rsid w:val="00451557"/>
    <w:rsid w:val="00503180"/>
    <w:rsid w:val="00522C2D"/>
    <w:rsid w:val="005306E1"/>
    <w:rsid w:val="005A5CAA"/>
    <w:rsid w:val="005A61D0"/>
    <w:rsid w:val="005C16A8"/>
    <w:rsid w:val="005E5BED"/>
    <w:rsid w:val="0060503C"/>
    <w:rsid w:val="0061062B"/>
    <w:rsid w:val="0064564D"/>
    <w:rsid w:val="006750F5"/>
    <w:rsid w:val="00677E79"/>
    <w:rsid w:val="00691913"/>
    <w:rsid w:val="006C22DF"/>
    <w:rsid w:val="006C66C4"/>
    <w:rsid w:val="006D2D77"/>
    <w:rsid w:val="007060D6"/>
    <w:rsid w:val="0073123E"/>
    <w:rsid w:val="00741330"/>
    <w:rsid w:val="00770466"/>
    <w:rsid w:val="007D4F87"/>
    <w:rsid w:val="007D51EB"/>
    <w:rsid w:val="008015B9"/>
    <w:rsid w:val="0081028D"/>
    <w:rsid w:val="00823361"/>
    <w:rsid w:val="00893278"/>
    <w:rsid w:val="0093195C"/>
    <w:rsid w:val="009729CE"/>
    <w:rsid w:val="009977A8"/>
    <w:rsid w:val="009D682C"/>
    <w:rsid w:val="009E2B51"/>
    <w:rsid w:val="009F02A8"/>
    <w:rsid w:val="00A73AE6"/>
    <w:rsid w:val="00A76591"/>
    <w:rsid w:val="00A81280"/>
    <w:rsid w:val="00A97B1D"/>
    <w:rsid w:val="00AA6861"/>
    <w:rsid w:val="00AB1A60"/>
    <w:rsid w:val="00AB298A"/>
    <w:rsid w:val="00B523C1"/>
    <w:rsid w:val="00B92D0D"/>
    <w:rsid w:val="00B92E1F"/>
    <w:rsid w:val="00BA5BE8"/>
    <w:rsid w:val="00C43475"/>
    <w:rsid w:val="00C4717A"/>
    <w:rsid w:val="00C8139B"/>
    <w:rsid w:val="00C926D4"/>
    <w:rsid w:val="00CA74C0"/>
    <w:rsid w:val="00CB202A"/>
    <w:rsid w:val="00CC48A2"/>
    <w:rsid w:val="00D2696D"/>
    <w:rsid w:val="00D81A4B"/>
    <w:rsid w:val="00D94C06"/>
    <w:rsid w:val="00DB3C79"/>
    <w:rsid w:val="00DE3FE4"/>
    <w:rsid w:val="00DF2AD3"/>
    <w:rsid w:val="00E012DD"/>
    <w:rsid w:val="00E177ED"/>
    <w:rsid w:val="00E41B7F"/>
    <w:rsid w:val="00E60F29"/>
    <w:rsid w:val="00E65A3D"/>
    <w:rsid w:val="00EB2D78"/>
    <w:rsid w:val="00F04157"/>
    <w:rsid w:val="00F53AC3"/>
    <w:rsid w:val="00F96C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CEBED"/>
  <w15:chartTrackingRefBased/>
  <w15:docId w15:val="{8D04B3F2-19F5-4EE9-90C4-3043AAFE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C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22C2D"/>
    <w:pPr>
      <w:tabs>
        <w:tab w:val="center" w:pos="4419"/>
        <w:tab w:val="right" w:pos="8838"/>
      </w:tabs>
      <w:spacing w:after="0" w:line="240" w:lineRule="auto"/>
    </w:pPr>
    <w:rPr>
      <w:rFonts w:eastAsia="Times New Roman"/>
      <w:kern w:val="0"/>
      <w:lang w:eastAsia="es-MX"/>
      <w14:ligatures w14:val="none"/>
    </w:rPr>
  </w:style>
  <w:style w:type="character" w:customStyle="1" w:styleId="PiedepginaCar">
    <w:name w:val="Pie de página Car"/>
    <w:basedOn w:val="Fuentedeprrafopredeter"/>
    <w:link w:val="Piedepgina"/>
    <w:uiPriority w:val="99"/>
    <w:rsid w:val="00522C2D"/>
    <w:rPr>
      <w:rFonts w:eastAsia="Times New Roman"/>
      <w:kern w:val="0"/>
      <w:lang w:eastAsia="es-MX"/>
      <w14:ligatures w14:val="none"/>
    </w:rPr>
  </w:style>
  <w:style w:type="table" w:customStyle="1" w:styleId="Tablaconcuadrcula1">
    <w:name w:val="Tabla con cuadrícula1"/>
    <w:basedOn w:val="Tablanormal"/>
    <w:next w:val="Tablaconcuadrcula"/>
    <w:uiPriority w:val="59"/>
    <w:rsid w:val="00522C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22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0503C"/>
    <w:pPr>
      <w:widowControl w:val="0"/>
      <w:autoSpaceDE w:val="0"/>
      <w:autoSpaceDN w:val="0"/>
      <w:spacing w:after="0" w:line="240" w:lineRule="auto"/>
    </w:pPr>
    <w:rPr>
      <w:rFonts w:ascii="Calibri" w:eastAsia="Calibri" w:hAnsi="Calibri" w:cs="Calibri"/>
      <w:kern w:val="0"/>
      <w:lang w:val="es-ES"/>
      <w14:ligatures w14:val="none"/>
    </w:rPr>
  </w:style>
  <w:style w:type="paragraph" w:styleId="Encabezado">
    <w:name w:val="header"/>
    <w:basedOn w:val="Normal"/>
    <w:link w:val="EncabezadoCar"/>
    <w:uiPriority w:val="99"/>
    <w:unhideWhenUsed/>
    <w:rsid w:val="00C926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6D4"/>
  </w:style>
  <w:style w:type="paragraph" w:customStyle="1" w:styleId="TableParagraph">
    <w:name w:val="Table Paragraph"/>
    <w:basedOn w:val="Normal"/>
    <w:uiPriority w:val="1"/>
    <w:qFormat/>
    <w:rsid w:val="00D94C06"/>
    <w:pPr>
      <w:widowControl w:val="0"/>
      <w:autoSpaceDE w:val="0"/>
      <w:autoSpaceDN w:val="0"/>
      <w:spacing w:after="0" w:line="248" w:lineRule="exact"/>
      <w:ind w:left="21"/>
      <w:jc w:val="center"/>
    </w:pPr>
    <w:rPr>
      <w:rFonts w:ascii="Calibri" w:eastAsia="Calibri" w:hAnsi="Calibri" w:cs="Calibri"/>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1390</Words>
  <Characters>7647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Comude Tlajomulco</cp:lastModifiedBy>
  <cp:revision>2</cp:revision>
  <cp:lastPrinted>2025-02-17T21:55:00Z</cp:lastPrinted>
  <dcterms:created xsi:type="dcterms:W3CDTF">2025-02-18T21:13:00Z</dcterms:created>
  <dcterms:modified xsi:type="dcterms:W3CDTF">2025-02-18T21:13:00Z</dcterms:modified>
</cp:coreProperties>
</file>